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0428" w:rsidRDefault="002F7213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Supply List 2018-2019</w:t>
      </w:r>
    </w:p>
    <w:p w:rsidR="00E00428" w:rsidRPr="00B31DD3" w:rsidRDefault="004C59DF">
      <w:pPr>
        <w:jc w:val="center"/>
        <w:rPr>
          <w:rFonts w:ascii="Gotham Book" w:hAnsi="Gotham Book"/>
        </w:rPr>
      </w:pPr>
      <w:bookmarkStart w:id="0" w:name="_GoBack"/>
      <w:r w:rsidRPr="00B31DD3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bookmarkEnd w:id="0"/>
    <w:p w:rsidR="00E00428" w:rsidRDefault="00E00428">
      <w:pPr>
        <w:jc w:val="center"/>
      </w:pPr>
    </w:p>
    <w:p w:rsidR="00E00428" w:rsidRDefault="004C59DF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1st Grade</w:t>
      </w:r>
    </w:p>
    <w:p w:rsidR="00E00428" w:rsidRDefault="00E00428">
      <w:pPr>
        <w:jc w:val="center"/>
      </w:pPr>
    </w:p>
    <w:p w:rsidR="00E00428" w:rsidRDefault="004C59DF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sweaters, backpacks, lunch bags, hats, gloves, etc.</w:t>
      </w:r>
    </w:p>
    <w:p w:rsidR="00E00428" w:rsidRDefault="00E00428"/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NIV Bible (Not the NIRV Readers Version)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1 ½” Three Ring Binder</w:t>
      </w:r>
    </w:p>
    <w:p w:rsidR="00E00428" w:rsidRDefault="00EF2B34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(6</w:t>
      </w:r>
      <w:r w:rsidR="004C59DF">
        <w:rPr>
          <w:rFonts w:ascii="Verdana" w:eastAsia="Verdana" w:hAnsi="Verdana" w:cs="Verdana"/>
          <w:sz w:val="28"/>
          <w:szCs w:val="28"/>
        </w:rPr>
        <w:t>)</w:t>
      </w:r>
      <w:r w:rsidR="004C59DF">
        <w:rPr>
          <w:rFonts w:ascii="Verdana" w:eastAsia="Verdana" w:hAnsi="Verdana" w:cs="Verdana"/>
          <w:sz w:val="28"/>
          <w:szCs w:val="28"/>
        </w:rPr>
        <w:tab/>
        <w:t>Plastic 2 Pocket Folders WITH 3 HOLES PUNCHED</w:t>
      </w:r>
      <w:r w:rsidR="00380A29">
        <w:rPr>
          <w:rFonts w:ascii="Verdana" w:eastAsia="Verdana" w:hAnsi="Verdana" w:cs="Verdana"/>
          <w:sz w:val="28"/>
          <w:szCs w:val="28"/>
        </w:rPr>
        <w:t xml:space="preserve"> (</w:t>
      </w:r>
      <w:r w:rsidR="004C59DF">
        <w:rPr>
          <w:rFonts w:ascii="Verdana" w:eastAsia="Verdana" w:hAnsi="Verdana" w:cs="Verdana"/>
          <w:sz w:val="28"/>
          <w:szCs w:val="28"/>
        </w:rPr>
        <w:t>DO NOT get the kind with the prongs inside)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100 Sheet Wide Rule Loose-Leaf Paper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Wide Ruled Spiral Bound Notebook</w:t>
      </w:r>
    </w:p>
    <w:p w:rsidR="00E00428" w:rsidRDefault="004C59DF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  <w:t>#2 Pencils (No Mechanical Pencils, No Sanford Eagle Pencils)</w:t>
      </w:r>
    </w:p>
    <w:p w:rsidR="00E00428" w:rsidRDefault="004C59DF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Zipper Pencil Pouches (No Boxes)</w:t>
      </w:r>
    </w:p>
    <w:p w:rsidR="00E00428" w:rsidRDefault="004C59DF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White Eraser</w:t>
      </w:r>
    </w:p>
    <w:p w:rsidR="00E00428" w:rsidRDefault="004C59DF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Box of 64 Crayons</w:t>
      </w:r>
    </w:p>
    <w:p w:rsidR="00EF2B34" w:rsidRDefault="00EF2B34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Box of 24 Crayons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Large Zipper Pouch for 64 Crayons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Set of 8 Washable Thick Line Color Markers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Zipper Pouch for Markers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Large School Glue (No Gel Glue)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JUMBO Glue Sticks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E00428" w:rsidRDefault="004C59DF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QUIET Indoor Game (for Indoor Recess – mazes, puzzles, matching games, travel games, etc.)</w:t>
      </w:r>
    </w:p>
    <w:p w:rsidR="00E00428" w:rsidRDefault="00E00428">
      <w:pPr>
        <w:ind w:left="1440" w:hanging="1440"/>
      </w:pPr>
    </w:p>
    <w:p w:rsidR="00E00428" w:rsidRDefault="00E00428">
      <w:pPr>
        <w:ind w:left="1440" w:hanging="1440"/>
      </w:pPr>
    </w:p>
    <w:p w:rsidR="00E00428" w:rsidRDefault="004C59DF"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E00428" w:rsidRDefault="00E00428">
      <w:pPr>
        <w:ind w:left="1440" w:hanging="1440"/>
      </w:pPr>
    </w:p>
    <w:p w:rsidR="00E00428" w:rsidRDefault="00E00428">
      <w:pPr>
        <w:ind w:left="1440" w:hanging="1440"/>
      </w:pPr>
    </w:p>
    <w:p w:rsidR="00E00428" w:rsidRDefault="00E00428"/>
    <w:p w:rsidR="00E00428" w:rsidRDefault="00E00428"/>
    <w:sectPr w:rsidR="00E00428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8"/>
    <w:rsid w:val="002F7213"/>
    <w:rsid w:val="00380A29"/>
    <w:rsid w:val="004C59DF"/>
    <w:rsid w:val="00AD39D1"/>
    <w:rsid w:val="00B31DD3"/>
    <w:rsid w:val="00E00428"/>
    <w:rsid w:val="00E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20893-F64D-4331-812E-960E5B73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Sarah Kojis</cp:lastModifiedBy>
  <cp:revision>6</cp:revision>
  <cp:lastPrinted>2018-05-29T16:51:00Z</cp:lastPrinted>
  <dcterms:created xsi:type="dcterms:W3CDTF">2016-07-28T17:52:00Z</dcterms:created>
  <dcterms:modified xsi:type="dcterms:W3CDTF">2018-05-29T21:22:00Z</dcterms:modified>
</cp:coreProperties>
</file>